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A8925" w14:textId="17321609" w:rsidR="001B62D7" w:rsidRDefault="00617F04" w:rsidP="00B17B47">
      <w:pPr>
        <w:tabs>
          <w:tab w:val="left" w:pos="2635"/>
          <w:tab w:val="center" w:pos="4592"/>
        </w:tabs>
        <w:spacing w:after="120"/>
        <w:jc w:val="center"/>
        <w:rPr>
          <w:rFonts w:cs="Arial"/>
          <w:b/>
          <w:i/>
          <w:sz w:val="28"/>
          <w:szCs w:val="28"/>
        </w:rPr>
      </w:pPr>
      <w:r>
        <w:rPr>
          <w:rFonts w:cs="Arial"/>
          <w:b/>
          <w:i/>
          <w:sz w:val="28"/>
          <w:szCs w:val="28"/>
        </w:rPr>
        <w:t>Τοποθέτηση</w:t>
      </w:r>
      <w:r w:rsidR="00B17B47" w:rsidRPr="001B62D7">
        <w:rPr>
          <w:rFonts w:cs="Arial"/>
          <w:b/>
          <w:i/>
          <w:sz w:val="28"/>
          <w:szCs w:val="28"/>
        </w:rPr>
        <w:t xml:space="preserve"> </w:t>
      </w:r>
    </w:p>
    <w:p w14:paraId="46C0BEDD" w14:textId="77777777" w:rsidR="001B62D7" w:rsidRDefault="00B17B47" w:rsidP="00B17B47">
      <w:pPr>
        <w:tabs>
          <w:tab w:val="left" w:pos="2635"/>
          <w:tab w:val="center" w:pos="4592"/>
        </w:tabs>
        <w:spacing w:after="120"/>
        <w:jc w:val="center"/>
        <w:rPr>
          <w:rFonts w:cs="Arial"/>
          <w:b/>
          <w:i/>
          <w:sz w:val="28"/>
          <w:szCs w:val="28"/>
        </w:rPr>
      </w:pPr>
      <w:r w:rsidRPr="001B62D7">
        <w:rPr>
          <w:rFonts w:cs="Arial"/>
          <w:b/>
          <w:i/>
          <w:sz w:val="28"/>
          <w:szCs w:val="28"/>
        </w:rPr>
        <w:t xml:space="preserve">Προέδρου Συνδέσμου Βιομηχανιών Ελλάδος (ΣΒΕ) </w:t>
      </w:r>
    </w:p>
    <w:p w14:paraId="1D65BA16" w14:textId="77777777" w:rsidR="00617F04" w:rsidRDefault="00B17B47" w:rsidP="00B17B47">
      <w:pPr>
        <w:tabs>
          <w:tab w:val="left" w:pos="2635"/>
          <w:tab w:val="center" w:pos="4592"/>
        </w:tabs>
        <w:spacing w:after="120"/>
        <w:jc w:val="center"/>
        <w:rPr>
          <w:rFonts w:cs="Arial"/>
          <w:b/>
          <w:i/>
          <w:sz w:val="28"/>
          <w:szCs w:val="28"/>
        </w:rPr>
      </w:pPr>
      <w:r w:rsidRPr="001B62D7">
        <w:rPr>
          <w:rFonts w:cs="Arial"/>
          <w:b/>
          <w:i/>
          <w:sz w:val="28"/>
          <w:szCs w:val="28"/>
        </w:rPr>
        <w:t>κας Λουκίας Σαράντη</w:t>
      </w:r>
    </w:p>
    <w:p w14:paraId="23BBA1C4" w14:textId="4BBEC77A" w:rsidR="00B17B47" w:rsidRPr="001B62D7" w:rsidRDefault="00617F04" w:rsidP="00B17B47">
      <w:pPr>
        <w:tabs>
          <w:tab w:val="left" w:pos="2635"/>
          <w:tab w:val="center" w:pos="4592"/>
        </w:tabs>
        <w:spacing w:after="120"/>
        <w:jc w:val="center"/>
        <w:rPr>
          <w:rFonts w:cs="Arial"/>
          <w:b/>
          <w:i/>
          <w:sz w:val="28"/>
          <w:szCs w:val="28"/>
        </w:rPr>
      </w:pPr>
      <w:r>
        <w:rPr>
          <w:rFonts w:cs="Arial"/>
          <w:b/>
          <w:i/>
          <w:sz w:val="28"/>
          <w:szCs w:val="28"/>
        </w:rPr>
        <w:t>για το κοινό άρθρο ΣΒΕ - ΕΛΙΝΥΑΕ</w:t>
      </w:r>
      <w:r w:rsidR="00B17B47" w:rsidRPr="001B62D7">
        <w:rPr>
          <w:rFonts w:cs="Arial"/>
          <w:b/>
          <w:i/>
          <w:sz w:val="28"/>
          <w:szCs w:val="28"/>
        </w:rPr>
        <w:t xml:space="preserve"> </w:t>
      </w:r>
    </w:p>
    <w:p w14:paraId="703995BF" w14:textId="78D2A1D8" w:rsidR="00B17B47" w:rsidRPr="001B62D7" w:rsidRDefault="00B17B47" w:rsidP="00B17B47">
      <w:pPr>
        <w:spacing w:after="120"/>
        <w:jc w:val="center"/>
        <w:rPr>
          <w:rFonts w:cs="Arial"/>
          <w:b/>
          <w:i/>
          <w:sz w:val="28"/>
          <w:szCs w:val="28"/>
        </w:rPr>
      </w:pPr>
      <w:r w:rsidRPr="001B62D7">
        <w:rPr>
          <w:rFonts w:cs="Arial"/>
          <w:b/>
          <w:i/>
          <w:sz w:val="28"/>
          <w:szCs w:val="28"/>
        </w:rPr>
        <w:t xml:space="preserve">στη ΝΑΥΤΕΜΠΟΡΙΚΗ </w:t>
      </w:r>
    </w:p>
    <w:p w14:paraId="6C32AD68" w14:textId="7886D749" w:rsidR="00B17B47" w:rsidRPr="001B62D7" w:rsidRDefault="006D28F9" w:rsidP="00B17B47">
      <w:pPr>
        <w:pBdr>
          <w:bottom w:val="single" w:sz="4" w:space="1" w:color="auto"/>
        </w:pBdr>
        <w:spacing w:after="120"/>
        <w:jc w:val="center"/>
        <w:rPr>
          <w:rFonts w:cs="Arial"/>
          <w:b/>
          <w:bCs/>
          <w:sz w:val="28"/>
          <w:szCs w:val="28"/>
        </w:rPr>
      </w:pPr>
      <w:r>
        <w:rPr>
          <w:b/>
          <w:bCs/>
          <w:sz w:val="28"/>
          <w:szCs w:val="28"/>
        </w:rPr>
        <w:t>με θέμα</w:t>
      </w:r>
      <w:r w:rsidR="00B17B47" w:rsidRPr="001B62D7">
        <w:rPr>
          <w:sz w:val="28"/>
          <w:szCs w:val="28"/>
        </w:rPr>
        <w:t xml:space="preserve"> </w:t>
      </w:r>
      <w:r w:rsidR="00B17B47" w:rsidRPr="001B62D7">
        <w:rPr>
          <w:b/>
          <w:bCs/>
          <w:sz w:val="28"/>
          <w:szCs w:val="28"/>
        </w:rPr>
        <w:t>«</w:t>
      </w:r>
      <w:r w:rsidR="00617F04">
        <w:rPr>
          <w:b/>
          <w:bCs/>
          <w:sz w:val="28"/>
          <w:szCs w:val="28"/>
        </w:rPr>
        <w:t>Υγεία και Ασφάλεια</w:t>
      </w:r>
      <w:r w:rsidR="004A7483">
        <w:rPr>
          <w:b/>
          <w:bCs/>
          <w:sz w:val="28"/>
          <w:szCs w:val="28"/>
        </w:rPr>
        <w:t xml:space="preserve"> στην Εργασία</w:t>
      </w:r>
      <w:r w:rsidR="00B17B47" w:rsidRPr="001B62D7">
        <w:rPr>
          <w:rFonts w:cs="Arial"/>
          <w:b/>
          <w:bCs/>
          <w:i/>
          <w:sz w:val="28"/>
          <w:szCs w:val="28"/>
        </w:rPr>
        <w:t xml:space="preserve">» </w:t>
      </w:r>
    </w:p>
    <w:p w14:paraId="18972A11" w14:textId="77777777" w:rsidR="00617F04" w:rsidRDefault="001B62D7" w:rsidP="00617F04">
      <w:pPr>
        <w:jc w:val="right"/>
        <w:rPr>
          <w:b/>
          <w:bCs/>
        </w:rPr>
      </w:pPr>
      <w:r w:rsidRPr="001B62D7">
        <w:rPr>
          <w:b/>
          <w:bCs/>
        </w:rPr>
        <w:t xml:space="preserve">Θεσσαλονίκη, </w:t>
      </w:r>
      <w:r w:rsidR="00617F04">
        <w:rPr>
          <w:b/>
          <w:bCs/>
        </w:rPr>
        <w:t>15</w:t>
      </w:r>
      <w:r w:rsidRPr="001B62D7">
        <w:rPr>
          <w:b/>
          <w:bCs/>
        </w:rPr>
        <w:t xml:space="preserve"> </w:t>
      </w:r>
      <w:r w:rsidR="00D07C63">
        <w:rPr>
          <w:b/>
          <w:bCs/>
        </w:rPr>
        <w:t>Φεβρουαρίου</w:t>
      </w:r>
      <w:r w:rsidRPr="001B62D7">
        <w:rPr>
          <w:b/>
          <w:bCs/>
        </w:rPr>
        <w:t xml:space="preserve"> 2024</w:t>
      </w:r>
    </w:p>
    <w:p w14:paraId="0BEDF962" w14:textId="46E6F4B6" w:rsidR="008B2EDF" w:rsidRDefault="00403E01" w:rsidP="00403E01">
      <w:pPr>
        <w:jc w:val="both"/>
      </w:pPr>
      <w:r>
        <w:t xml:space="preserve">Η δεκαετία του 1990 σηματοδότησε το άνοιγμα των επιχειρήσεων της Βόρειας Ελλάδας στις χώρες της Βαλκανικής, </w:t>
      </w:r>
      <w:r w:rsidR="00D67619">
        <w:t>μια κίνηση που</w:t>
      </w:r>
      <w:r>
        <w:t xml:space="preserve"> απέκτησε μεγ</w:t>
      </w:r>
      <w:r w:rsidR="009D24AD">
        <w:t>άλη</w:t>
      </w:r>
      <w:r>
        <w:t xml:space="preserve"> δυναμική </w:t>
      </w:r>
      <w:r w:rsidR="009D24AD">
        <w:t>μέχρι την αρχή</w:t>
      </w:r>
      <w:r>
        <w:t xml:space="preserve"> της χρηματοοικονομικής κρίσης του 2008. </w:t>
      </w:r>
    </w:p>
    <w:p w14:paraId="3133D69C" w14:textId="16358C54" w:rsidR="009D24AD" w:rsidRDefault="00403E01" w:rsidP="00403E01">
      <w:pPr>
        <w:jc w:val="both"/>
      </w:pPr>
      <w:r>
        <w:t>Οι ελληνικές επιχειρήσεις αναζητώντας συγκριτικά πλεονεκτήματα επένδυσαν σε όμορες χώρες, όπως η Βουλγαρία, η Βόρεια Μακεδονία (Σκόπια), η Αλβανία αλλά και στη Ρουμανία και τη Σερβία</w:t>
      </w:r>
      <w:r w:rsidR="00D67619">
        <w:t>, ενισχύοντας τη στρατηγική τους διεθνοποίηση.</w:t>
      </w:r>
      <w:r w:rsidR="009D24AD">
        <w:t xml:space="preserve"> Στο σημείο αυτό θα πρέπει να επισημάνουμε ότι αυτός ο στρατηγικός προσανατολισμός δεν αποτελούσε αποκλειστικό προνόμιο των ελληνικών επιχειρήσεων και βιομηχανιών, αλλά ήταν κοινός για όλες τις βιομηχανίες της Δυτικής Ευρώπης. Κατά συνέπεια θα πρέπει να γίνει και η διάκριση μεταξύ της υγιούς διεθνοποίησης</w:t>
      </w:r>
      <w:r w:rsidR="0083458B">
        <w:t>,</w:t>
      </w:r>
      <w:r w:rsidR="00AE6B4D">
        <w:t xml:space="preserve"> που στηρίζει ο ΣΒΕ</w:t>
      </w:r>
      <w:r w:rsidR="009D24AD">
        <w:t xml:space="preserve"> </w:t>
      </w:r>
      <w:r w:rsidR="00AE6B4D">
        <w:t>και</w:t>
      </w:r>
      <w:r w:rsidR="009D24AD">
        <w:t xml:space="preserve"> στ</w:t>
      </w:r>
      <w:r w:rsidR="00AE6B4D">
        <w:t>ο</w:t>
      </w:r>
      <w:r w:rsidR="009D24AD">
        <w:t>χε</w:t>
      </w:r>
      <w:r w:rsidR="00AE6B4D">
        <w:t>ύει</w:t>
      </w:r>
      <w:r w:rsidR="009D24AD">
        <w:t xml:space="preserve"> στη μακροχρόνια ανάπτυξη και τ</w:t>
      </w:r>
      <w:r w:rsidR="004E740B">
        <w:t>ων περιπτώσεων</w:t>
      </w:r>
      <w:r w:rsidR="009D24AD">
        <w:t xml:space="preserve"> ευκαιριακής μετεγκατάστασης</w:t>
      </w:r>
      <w:r w:rsidR="004E740B">
        <w:t>, οι οποίες όπου κι αν εφαρμόστηκαν δεν καρποφόρησαν.</w:t>
      </w:r>
      <w:r w:rsidR="009D24AD">
        <w:t xml:space="preserve"> </w:t>
      </w:r>
    </w:p>
    <w:p w14:paraId="3B21E659" w14:textId="1097F8E3" w:rsidR="006816CD" w:rsidRDefault="008B2EDF" w:rsidP="00403E01">
      <w:pPr>
        <w:jc w:val="both"/>
      </w:pPr>
      <w:r>
        <w:t>Οι προβλέψεις που μπορούμε να κάνουμε για το μέλλον είναι θετικές, λαμβάνοντας υπόψη τη διεύρυνση της Ευρωπαϊκής Ένωσης στα Δυτικά Βαλκάνια. Η ευόδωση αυτής της πολιτικής προσπάθειας θα σημάνει την πλήρη ένταξη της Αλβανίας, της Βόρειας Μακεδονίας και της Σερβίας στο ευρωπαϊκό οικοδόμημα και την πλήρη εναρμόνισή τους με το ευρωπαϊκό κεκτημένο. Το γεγονός αυτό θα διευκολύνει σημαντικά τις μετακινήσεις προσώπων και κεφαλαίων, τις επενδύσεις και φυσικά την απρόσκοπτη μεταφορά εμπορευμάτων</w:t>
      </w:r>
      <w:r w:rsidR="006816CD">
        <w:t xml:space="preserve"> και θα ενισχύσει σημαντικά το διεθνές αποτύπωμα των ελληνικών επιχειρήσεων.</w:t>
      </w:r>
    </w:p>
    <w:p w14:paraId="3A830BCA" w14:textId="3D6CE71E" w:rsidR="00D67619" w:rsidRPr="00403E01" w:rsidRDefault="006816CD" w:rsidP="00403E01">
      <w:pPr>
        <w:jc w:val="both"/>
      </w:pPr>
      <w:r>
        <w:t>Αναμφίβολα, το σημαντικότερο κεφάλαιο μιας επιχείρησης είναι οι άνθρωποί τη</w:t>
      </w:r>
      <w:r w:rsidR="001B7F49">
        <w:t>ς</w:t>
      </w:r>
      <w:r w:rsidR="00BA35E7" w:rsidRPr="00BA35E7">
        <w:t xml:space="preserve">, </w:t>
      </w:r>
      <w:r w:rsidR="00BA35E7">
        <w:t>συνεπώς</w:t>
      </w:r>
      <w:r w:rsidR="009B4546">
        <w:t xml:space="preserve"> η υγεία</w:t>
      </w:r>
      <w:r w:rsidR="004A68CB">
        <w:t xml:space="preserve"> και η ασφάλεια</w:t>
      </w:r>
      <w:r w:rsidR="009B4546">
        <w:t xml:space="preserve"> των εργαζομένων πρέπει να βρίσκεται στο επίκεντρο του στρατηγικού σχεδιασμού κάθε οργανισμού</w:t>
      </w:r>
      <w:r w:rsidR="001B7F49">
        <w:t>. Οι ελληνικές βιομηχανίες που ίδρυσαν θυγατρικές στα κράτη της βαλκανικής μετέφεραν την τεχνογνωσία, την κουλτούρα και την οργάνωσή τους στις χώρες υποδο</w:t>
      </w:r>
      <w:r w:rsidR="002E3EAC">
        <w:t>χ</w:t>
      </w:r>
      <w:r w:rsidR="001B7F49">
        <w:t>ής.</w:t>
      </w:r>
      <w:r w:rsidR="004E740B">
        <w:t xml:space="preserve"> Εδώ θα πρέπει να τονίσουμε ότι στις αρχές της δεκαετίας του 2000 το ζήτημα της ΥΑΕ αποτελούσε </w:t>
      </w:r>
      <w:r w:rsidR="004E740B">
        <w:rPr>
          <w:lang w:val="en-US"/>
        </w:rPr>
        <w:t>terra</w:t>
      </w:r>
      <w:r w:rsidR="004E740B" w:rsidRPr="004E740B">
        <w:t xml:space="preserve"> </w:t>
      </w:r>
      <w:r w:rsidR="004E740B">
        <w:rPr>
          <w:lang w:val="en-US"/>
        </w:rPr>
        <w:t>incognita</w:t>
      </w:r>
      <w:r w:rsidR="004E740B" w:rsidRPr="004E740B">
        <w:t xml:space="preserve"> </w:t>
      </w:r>
      <w:r w:rsidR="004E740B">
        <w:t xml:space="preserve">για τις χώρες αυτές και μόνο προς τα μέσα της δεκαετίες άρχισε η ενσωμάτωσή τους στο εκάστοτε ρυθμιστικό πλαίσιο. </w:t>
      </w:r>
      <w:r w:rsidR="009B4546">
        <w:t xml:space="preserve">Ωστόσο, τα προσκόμματα </w:t>
      </w:r>
      <w:r w:rsidR="00AE6B4D">
        <w:t>σταδιακά εξομαλύνονται</w:t>
      </w:r>
      <w:r w:rsidR="009B4546">
        <w:t xml:space="preserve"> και η προοπτική εναρμόνισης του ρυθμιστικού πλαισίου αυτών των χωρών με την ευρωπαϊκή νομοθεσία θα εξασφαλίσει την ευημερία των εργαζομένων, που αποτελούν και τον σημαντικότερο </w:t>
      </w:r>
      <w:r w:rsidR="00581A37">
        <w:t>παραγωγικό συντελεστή για μια επιχείρηση.</w:t>
      </w:r>
    </w:p>
    <w:p w14:paraId="34D89B87" w14:textId="413A2D92" w:rsidR="0055492C" w:rsidRPr="00ED18CE" w:rsidRDefault="00617F04" w:rsidP="00ED18CE">
      <w:pPr>
        <w:rPr>
          <w:b/>
          <w:bCs/>
        </w:rPr>
      </w:pPr>
      <w:r>
        <w:t xml:space="preserve"> </w:t>
      </w:r>
    </w:p>
    <w:sectPr w:rsidR="0055492C" w:rsidRPr="00ED18CE" w:rsidSect="004219F7">
      <w:headerReference w:type="first" r:id="rId6"/>
      <w:footerReference w:type="firs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E3537" w14:textId="77777777" w:rsidR="004219F7" w:rsidRDefault="004219F7" w:rsidP="004219F7">
      <w:pPr>
        <w:spacing w:after="0" w:line="240" w:lineRule="auto"/>
      </w:pPr>
      <w:r>
        <w:separator/>
      </w:r>
    </w:p>
  </w:endnote>
  <w:endnote w:type="continuationSeparator" w:id="0">
    <w:p w14:paraId="3E3EB503" w14:textId="77777777" w:rsidR="004219F7" w:rsidRDefault="004219F7" w:rsidP="00421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870" w:type="dxa"/>
      <w:tblInd w:w="108" w:type="dxa"/>
      <w:tblLook w:val="04A0" w:firstRow="1" w:lastRow="0" w:firstColumn="1" w:lastColumn="0" w:noHBand="0" w:noVBand="1"/>
    </w:tblPr>
    <w:tblGrid>
      <w:gridCol w:w="1826"/>
      <w:gridCol w:w="5218"/>
      <w:gridCol w:w="1826"/>
    </w:tblGrid>
    <w:tr w:rsidR="004219F7" w:rsidRPr="00617F04" w14:paraId="420FAC86" w14:textId="77777777" w:rsidTr="00AF71C1">
      <w:trPr>
        <w:trHeight w:val="517"/>
      </w:trPr>
      <w:tc>
        <w:tcPr>
          <w:tcW w:w="1826" w:type="dxa"/>
          <w:shd w:val="clear" w:color="auto" w:fill="auto"/>
        </w:tcPr>
        <w:p w14:paraId="22614971" w14:textId="440C859F" w:rsidR="004219F7" w:rsidRPr="004219F7" w:rsidRDefault="004219F7" w:rsidP="004219F7">
          <w:pPr>
            <w:tabs>
              <w:tab w:val="center" w:pos="4153"/>
              <w:tab w:val="right" w:pos="8306"/>
            </w:tabs>
            <w:spacing w:after="0" w:line="240" w:lineRule="auto"/>
            <w:rPr>
              <w:rFonts w:ascii="Arial" w:eastAsia="Times New Roman" w:hAnsi="Arial" w:cs="Arial"/>
              <w:kern w:val="0"/>
              <w:sz w:val="18"/>
              <w:szCs w:val="18"/>
              <w:lang w:val="en-US" w:eastAsia="el-GR"/>
              <w14:ligatures w14:val="none"/>
            </w:rPr>
          </w:pPr>
        </w:p>
      </w:tc>
      <w:tc>
        <w:tcPr>
          <w:tcW w:w="5218" w:type="dxa"/>
          <w:shd w:val="clear" w:color="auto" w:fill="auto"/>
        </w:tcPr>
        <w:p w14:paraId="71A6C7D0" w14:textId="642394B3" w:rsidR="004219F7" w:rsidRPr="004219F7" w:rsidRDefault="004219F7" w:rsidP="004219F7">
          <w:pPr>
            <w:tabs>
              <w:tab w:val="center" w:pos="4153"/>
              <w:tab w:val="right" w:pos="8306"/>
            </w:tabs>
            <w:spacing w:after="0" w:line="240" w:lineRule="auto"/>
            <w:rPr>
              <w:rFonts w:ascii="Arial" w:eastAsia="Times New Roman" w:hAnsi="Arial" w:cs="Arial"/>
              <w:kern w:val="0"/>
              <w:sz w:val="18"/>
              <w:szCs w:val="18"/>
              <w:lang w:val="en-US" w:eastAsia="el-GR"/>
              <w14:ligatures w14:val="none"/>
            </w:rPr>
          </w:pPr>
        </w:p>
      </w:tc>
      <w:tc>
        <w:tcPr>
          <w:tcW w:w="1826" w:type="dxa"/>
          <w:shd w:val="clear" w:color="auto" w:fill="auto"/>
        </w:tcPr>
        <w:p w14:paraId="6C097663" w14:textId="26AA08E2" w:rsidR="004219F7" w:rsidRPr="004219F7" w:rsidRDefault="004219F7" w:rsidP="004219F7">
          <w:pPr>
            <w:tabs>
              <w:tab w:val="center" w:pos="4153"/>
              <w:tab w:val="right" w:pos="8306"/>
            </w:tabs>
            <w:spacing w:after="0" w:line="240" w:lineRule="auto"/>
            <w:rPr>
              <w:rFonts w:ascii="Arial" w:eastAsia="Times New Roman" w:hAnsi="Arial" w:cs="Arial"/>
              <w:color w:val="00ADEE"/>
              <w:kern w:val="0"/>
              <w:sz w:val="18"/>
              <w:szCs w:val="18"/>
              <w:lang w:val="en-US" w:eastAsia="el-GR"/>
              <w14:ligatures w14:val="none"/>
            </w:rPr>
          </w:pPr>
        </w:p>
      </w:tc>
    </w:tr>
  </w:tbl>
  <w:p w14:paraId="55F7D201" w14:textId="77777777" w:rsidR="004219F7" w:rsidRPr="004219F7" w:rsidRDefault="004219F7">
    <w:pPr>
      <w:pStyle w:val="a4"/>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635D0" w14:textId="77777777" w:rsidR="004219F7" w:rsidRDefault="004219F7" w:rsidP="004219F7">
      <w:pPr>
        <w:spacing w:after="0" w:line="240" w:lineRule="auto"/>
      </w:pPr>
      <w:r>
        <w:separator/>
      </w:r>
    </w:p>
  </w:footnote>
  <w:footnote w:type="continuationSeparator" w:id="0">
    <w:p w14:paraId="2638DC89" w14:textId="77777777" w:rsidR="004219F7" w:rsidRDefault="004219F7" w:rsidP="00421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4EE31" w14:textId="237FA362" w:rsidR="004219F7" w:rsidRDefault="004219F7">
    <w:pPr>
      <w:pStyle w:val="a3"/>
    </w:pPr>
    <w:r w:rsidRPr="006304CA">
      <w:rPr>
        <w:noProof/>
      </w:rPr>
      <w:drawing>
        <wp:inline distT="0" distB="0" distL="0" distR="0" wp14:anchorId="72ABA564" wp14:editId="3DF4CF69">
          <wp:extent cx="3057525" cy="647700"/>
          <wp:effectExtent l="0" t="0" r="0" b="0"/>
          <wp:docPr id="1565687032"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pic:cNvPicPr>
                    <a:picLocks noChangeAspect="1" noChangeArrowheads="1"/>
                  </pic:cNvPicPr>
                </pic:nvPicPr>
                <pic:blipFill>
                  <a:blip r:embed="rId1">
                    <a:extLst>
                      <a:ext uri="{28A0092B-C50C-407E-A947-70E740481C1C}">
                        <a14:useLocalDpi xmlns:a14="http://schemas.microsoft.com/office/drawing/2010/main" val="0"/>
                      </a:ext>
                    </a:extLst>
                  </a:blip>
                  <a:srcRect l="9933" t="23267" r="9602" b="25743"/>
                  <a:stretch>
                    <a:fillRect/>
                  </a:stretch>
                </pic:blipFill>
                <pic:spPr bwMode="auto">
                  <a:xfrm>
                    <a:off x="0" y="0"/>
                    <a:ext cx="3057525" cy="647700"/>
                  </a:xfrm>
                  <a:prstGeom prst="rect">
                    <a:avLst/>
                  </a:prstGeom>
                  <a:noFill/>
                  <a:ln>
                    <a:noFill/>
                  </a:ln>
                </pic:spPr>
              </pic:pic>
            </a:graphicData>
          </a:graphic>
        </wp:inline>
      </w:drawing>
    </w:r>
  </w:p>
  <w:p w14:paraId="4A40DBEF" w14:textId="77777777" w:rsidR="004219F7" w:rsidRDefault="004219F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60F"/>
    <w:rsid w:val="0010260F"/>
    <w:rsid w:val="00180B02"/>
    <w:rsid w:val="0019592A"/>
    <w:rsid w:val="001B62D7"/>
    <w:rsid w:val="001B7F49"/>
    <w:rsid w:val="001F17E9"/>
    <w:rsid w:val="0020144D"/>
    <w:rsid w:val="00210582"/>
    <w:rsid w:val="002369FB"/>
    <w:rsid w:val="00283A6F"/>
    <w:rsid w:val="002C024D"/>
    <w:rsid w:val="002E3EAC"/>
    <w:rsid w:val="00387739"/>
    <w:rsid w:val="003B6CCE"/>
    <w:rsid w:val="00403E01"/>
    <w:rsid w:val="004219F7"/>
    <w:rsid w:val="00455FD8"/>
    <w:rsid w:val="00482D00"/>
    <w:rsid w:val="004A68CB"/>
    <w:rsid w:val="004A7483"/>
    <w:rsid w:val="004E740B"/>
    <w:rsid w:val="00550974"/>
    <w:rsid w:val="0055492C"/>
    <w:rsid w:val="00581A37"/>
    <w:rsid w:val="005C4BE2"/>
    <w:rsid w:val="005F3B5D"/>
    <w:rsid w:val="00617F04"/>
    <w:rsid w:val="00641A5D"/>
    <w:rsid w:val="006816CD"/>
    <w:rsid w:val="006D28F9"/>
    <w:rsid w:val="006E3981"/>
    <w:rsid w:val="006F5063"/>
    <w:rsid w:val="00787123"/>
    <w:rsid w:val="007B00CC"/>
    <w:rsid w:val="007E3978"/>
    <w:rsid w:val="0083458B"/>
    <w:rsid w:val="00851C69"/>
    <w:rsid w:val="008B2EDF"/>
    <w:rsid w:val="009167ED"/>
    <w:rsid w:val="009B4546"/>
    <w:rsid w:val="009D0CCC"/>
    <w:rsid w:val="009D24AD"/>
    <w:rsid w:val="00AE6B4D"/>
    <w:rsid w:val="00B17B47"/>
    <w:rsid w:val="00B22325"/>
    <w:rsid w:val="00B56122"/>
    <w:rsid w:val="00BA35E7"/>
    <w:rsid w:val="00D07C63"/>
    <w:rsid w:val="00D50C62"/>
    <w:rsid w:val="00D512C4"/>
    <w:rsid w:val="00D67619"/>
    <w:rsid w:val="00DF1711"/>
    <w:rsid w:val="00E86884"/>
    <w:rsid w:val="00ED18CE"/>
    <w:rsid w:val="00F0766F"/>
    <w:rsid w:val="00FA0FE9"/>
    <w:rsid w:val="00FB33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54A9C"/>
  <w15:chartTrackingRefBased/>
  <w15:docId w15:val="{716F71EF-71B7-4337-9E80-A71E3EB35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19F7"/>
    <w:pPr>
      <w:tabs>
        <w:tab w:val="center" w:pos="4153"/>
        <w:tab w:val="right" w:pos="8306"/>
      </w:tabs>
      <w:spacing w:after="0" w:line="240" w:lineRule="auto"/>
    </w:pPr>
  </w:style>
  <w:style w:type="character" w:customStyle="1" w:styleId="Char">
    <w:name w:val="Κεφαλίδα Char"/>
    <w:basedOn w:val="a0"/>
    <w:link w:val="a3"/>
    <w:uiPriority w:val="99"/>
    <w:rsid w:val="004219F7"/>
  </w:style>
  <w:style w:type="paragraph" w:styleId="a4">
    <w:name w:val="footer"/>
    <w:basedOn w:val="a"/>
    <w:link w:val="Char0"/>
    <w:uiPriority w:val="99"/>
    <w:unhideWhenUsed/>
    <w:rsid w:val="004219F7"/>
    <w:pPr>
      <w:tabs>
        <w:tab w:val="center" w:pos="4153"/>
        <w:tab w:val="right" w:pos="8306"/>
      </w:tabs>
      <w:spacing w:after="0" w:line="240" w:lineRule="auto"/>
    </w:pPr>
  </w:style>
  <w:style w:type="character" w:customStyle="1" w:styleId="Char0">
    <w:name w:val="Υποσέλιδο Char"/>
    <w:basedOn w:val="a0"/>
    <w:link w:val="a4"/>
    <w:uiPriority w:val="99"/>
    <w:rsid w:val="00421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1569</TotalTime>
  <Pages>1</Pages>
  <Words>394</Words>
  <Characters>2129</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SBBE GR</dc:creator>
  <cp:keywords/>
  <dc:description/>
  <cp:lastModifiedBy>SBBE GR</cp:lastModifiedBy>
  <cp:revision>134</cp:revision>
  <cp:lastPrinted>2024-02-15T11:25:00Z</cp:lastPrinted>
  <dcterms:created xsi:type="dcterms:W3CDTF">2024-01-31T13:07:00Z</dcterms:created>
  <dcterms:modified xsi:type="dcterms:W3CDTF">2024-02-15T13:36:00Z</dcterms:modified>
</cp:coreProperties>
</file>